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3D325" w14:textId="77777777" w:rsidR="00CB7C27" w:rsidRPr="003C0694" w:rsidRDefault="00CB7C27" w:rsidP="00C42F77">
      <w:pPr>
        <w:spacing w:after="0" w:line="240" w:lineRule="auto"/>
        <w:jc w:val="center"/>
        <w:rPr>
          <w:rFonts w:asciiTheme="majorHAnsi" w:hAnsiTheme="majorHAnsi"/>
          <w:b/>
          <w:sz w:val="24"/>
          <w:szCs w:val="24"/>
        </w:rPr>
      </w:pPr>
      <w:r w:rsidRPr="003C0694">
        <w:rPr>
          <w:rFonts w:asciiTheme="majorHAnsi" w:hAnsiTheme="majorHAnsi"/>
          <w:b/>
          <w:sz w:val="24"/>
          <w:szCs w:val="24"/>
        </w:rPr>
        <w:t>INVESTOR GRIEVANCE POLICY</w:t>
      </w:r>
    </w:p>
    <w:p w14:paraId="63880037" w14:textId="77777777" w:rsidR="00C42F77" w:rsidRPr="003C0694" w:rsidRDefault="00C42F77" w:rsidP="00C42F77">
      <w:pPr>
        <w:spacing w:after="0" w:line="240" w:lineRule="auto"/>
        <w:jc w:val="center"/>
        <w:rPr>
          <w:rFonts w:asciiTheme="majorHAnsi" w:hAnsiTheme="majorHAnsi"/>
          <w:b/>
          <w:sz w:val="24"/>
          <w:szCs w:val="24"/>
        </w:rPr>
      </w:pPr>
    </w:p>
    <w:p w14:paraId="737D3B08" w14:textId="77777777" w:rsidR="00CB7C27" w:rsidRPr="003C0694" w:rsidRDefault="00CB7C27" w:rsidP="00C42F77">
      <w:pPr>
        <w:spacing w:after="0" w:line="240" w:lineRule="auto"/>
        <w:jc w:val="both"/>
        <w:rPr>
          <w:rFonts w:asciiTheme="majorHAnsi" w:hAnsiTheme="majorHAnsi"/>
          <w:sz w:val="24"/>
          <w:szCs w:val="24"/>
        </w:rPr>
      </w:pPr>
      <w:r w:rsidRPr="003C0694">
        <w:rPr>
          <w:rFonts w:asciiTheme="majorHAnsi" w:hAnsiTheme="majorHAnsi"/>
          <w:sz w:val="24"/>
          <w:szCs w:val="24"/>
        </w:rPr>
        <w:t xml:space="preserve">This is an internal policy of </w:t>
      </w:r>
      <w:r w:rsidR="00BB08D0" w:rsidRPr="003C0694">
        <w:rPr>
          <w:rFonts w:asciiTheme="majorHAnsi" w:hAnsiTheme="majorHAnsi"/>
          <w:sz w:val="24"/>
          <w:szCs w:val="24"/>
        </w:rPr>
        <w:t>Vandan Foods</w:t>
      </w:r>
      <w:r w:rsidR="00A41360" w:rsidRPr="003C0694">
        <w:rPr>
          <w:rFonts w:asciiTheme="majorHAnsi" w:hAnsiTheme="majorHAnsi"/>
          <w:sz w:val="24"/>
          <w:szCs w:val="24"/>
        </w:rPr>
        <w:t xml:space="preserve"> </w:t>
      </w:r>
      <w:r w:rsidRPr="003C0694">
        <w:rPr>
          <w:rFonts w:asciiTheme="majorHAnsi" w:hAnsiTheme="majorHAnsi"/>
          <w:sz w:val="24"/>
          <w:szCs w:val="24"/>
        </w:rPr>
        <w:t>Limited for Investor Grievance handling.</w:t>
      </w:r>
    </w:p>
    <w:p w14:paraId="264EA82E" w14:textId="77777777" w:rsidR="00C42F77" w:rsidRPr="003C0694" w:rsidRDefault="00C42F77" w:rsidP="00C42F77">
      <w:pPr>
        <w:spacing w:after="0" w:line="240" w:lineRule="auto"/>
        <w:jc w:val="both"/>
        <w:rPr>
          <w:rFonts w:asciiTheme="majorHAnsi" w:hAnsiTheme="majorHAnsi"/>
          <w:sz w:val="24"/>
          <w:szCs w:val="24"/>
        </w:rPr>
      </w:pPr>
    </w:p>
    <w:p w14:paraId="3296B35F" w14:textId="77777777" w:rsidR="00CB7C27" w:rsidRPr="003C0694" w:rsidRDefault="00CB7C27" w:rsidP="00C42F77">
      <w:pPr>
        <w:pStyle w:val="ListParagraph"/>
        <w:numPr>
          <w:ilvl w:val="0"/>
          <w:numId w:val="1"/>
        </w:numPr>
        <w:spacing w:after="0" w:line="240" w:lineRule="auto"/>
        <w:jc w:val="both"/>
        <w:rPr>
          <w:rFonts w:asciiTheme="majorHAnsi" w:hAnsiTheme="majorHAnsi"/>
          <w:sz w:val="24"/>
          <w:szCs w:val="24"/>
        </w:rPr>
      </w:pPr>
      <w:r w:rsidRPr="003C0694">
        <w:rPr>
          <w:rFonts w:asciiTheme="majorHAnsi" w:hAnsiTheme="majorHAnsi"/>
          <w:sz w:val="24"/>
          <w:szCs w:val="24"/>
        </w:rPr>
        <w:t>An Investor /Client can make his/her complaint through email or letter to the Company.</w:t>
      </w:r>
    </w:p>
    <w:p w14:paraId="5A6C0200" w14:textId="77777777" w:rsidR="00CB7C27" w:rsidRPr="003C0694" w:rsidRDefault="00CB7C27" w:rsidP="00C42F77">
      <w:pPr>
        <w:pStyle w:val="ListParagraph"/>
        <w:numPr>
          <w:ilvl w:val="0"/>
          <w:numId w:val="1"/>
        </w:numPr>
        <w:spacing w:after="0" w:line="240" w:lineRule="auto"/>
        <w:jc w:val="both"/>
        <w:rPr>
          <w:rFonts w:asciiTheme="majorHAnsi" w:hAnsiTheme="majorHAnsi"/>
          <w:sz w:val="24"/>
          <w:szCs w:val="24"/>
        </w:rPr>
      </w:pPr>
      <w:r w:rsidRPr="003C0694">
        <w:rPr>
          <w:rFonts w:asciiTheme="majorHAnsi" w:hAnsiTheme="majorHAnsi"/>
          <w:sz w:val="24"/>
          <w:szCs w:val="24"/>
        </w:rPr>
        <w:t>The Investor/Client can make a written complaint through letter and sent it or hand delivered to Company’s Head Office.</w:t>
      </w:r>
    </w:p>
    <w:p w14:paraId="7C95A691" w14:textId="77777777" w:rsidR="00CB7C27" w:rsidRPr="003C0694" w:rsidRDefault="00CB7C27" w:rsidP="00C42F77">
      <w:pPr>
        <w:pStyle w:val="ListParagraph"/>
        <w:numPr>
          <w:ilvl w:val="0"/>
          <w:numId w:val="1"/>
        </w:numPr>
        <w:spacing w:after="0" w:line="240" w:lineRule="auto"/>
        <w:jc w:val="both"/>
        <w:rPr>
          <w:rFonts w:asciiTheme="majorHAnsi" w:hAnsiTheme="majorHAnsi"/>
          <w:sz w:val="24"/>
          <w:szCs w:val="24"/>
        </w:rPr>
      </w:pPr>
      <w:r w:rsidRPr="003C0694">
        <w:rPr>
          <w:rFonts w:asciiTheme="majorHAnsi" w:hAnsiTheme="majorHAnsi"/>
          <w:sz w:val="24"/>
          <w:szCs w:val="24"/>
        </w:rPr>
        <w:t>Handling of all investor grievances is a centralized function and is being handled by Compliance department at corporate office.</w:t>
      </w:r>
    </w:p>
    <w:p w14:paraId="14241073" w14:textId="5D21312C" w:rsidR="00CB7C27" w:rsidRPr="003C0694" w:rsidRDefault="00CB7C27" w:rsidP="00C42F77">
      <w:pPr>
        <w:pStyle w:val="ListParagraph"/>
        <w:numPr>
          <w:ilvl w:val="0"/>
          <w:numId w:val="1"/>
        </w:numPr>
        <w:spacing w:after="0" w:line="240" w:lineRule="auto"/>
        <w:jc w:val="both"/>
        <w:rPr>
          <w:rFonts w:asciiTheme="majorHAnsi" w:hAnsiTheme="majorHAnsi"/>
          <w:sz w:val="24"/>
          <w:szCs w:val="24"/>
        </w:rPr>
      </w:pPr>
      <w:r w:rsidRPr="003C0694">
        <w:rPr>
          <w:rFonts w:asciiTheme="majorHAnsi" w:hAnsiTheme="majorHAnsi"/>
          <w:sz w:val="24"/>
          <w:szCs w:val="24"/>
        </w:rPr>
        <w:t xml:space="preserve">Under the SEBI directive a designated e-mail id has been created </w:t>
      </w:r>
      <w:hyperlink r:id="rId5" w:history="1">
        <w:r w:rsidR="00CF6B8F" w:rsidRPr="003C0694">
          <w:rPr>
            <w:rStyle w:val="Hyperlink"/>
            <w:rFonts w:asciiTheme="majorHAnsi" w:hAnsiTheme="majorHAnsi"/>
            <w:sz w:val="24"/>
            <w:szCs w:val="24"/>
          </w:rPr>
          <w:t>info@thelelavoir.com</w:t>
        </w:r>
      </w:hyperlink>
      <w:r w:rsidR="00CF6B8F" w:rsidRPr="003C0694">
        <w:rPr>
          <w:rFonts w:asciiTheme="majorHAnsi" w:hAnsiTheme="majorHAnsi"/>
          <w:sz w:val="24"/>
          <w:szCs w:val="24"/>
        </w:rPr>
        <w:t xml:space="preserve"> </w:t>
      </w:r>
      <w:hyperlink r:id="rId6" w:history="1"/>
      <w:r w:rsidRPr="003C0694">
        <w:rPr>
          <w:rFonts w:asciiTheme="majorHAnsi" w:hAnsiTheme="majorHAnsi"/>
          <w:sz w:val="24"/>
          <w:szCs w:val="24"/>
        </w:rPr>
        <w:t xml:space="preserve">&amp; the same has been displayed on our website </w:t>
      </w:r>
      <w:hyperlink r:id="rId7" w:history="1">
        <w:r w:rsidR="004C5731" w:rsidRPr="000A26ED">
          <w:rPr>
            <w:rStyle w:val="Hyperlink"/>
            <w:rFonts w:asciiTheme="majorHAnsi" w:hAnsiTheme="majorHAnsi"/>
            <w:sz w:val="24"/>
            <w:szCs w:val="24"/>
          </w:rPr>
          <w:t>https://thelelavoir.com</w:t>
        </w:r>
      </w:hyperlink>
      <w:r w:rsidR="004C5731">
        <w:rPr>
          <w:rFonts w:asciiTheme="majorHAnsi" w:hAnsiTheme="majorHAnsi"/>
          <w:sz w:val="24"/>
          <w:szCs w:val="24"/>
        </w:rPr>
        <w:t xml:space="preserve"> </w:t>
      </w:r>
      <w:hyperlink r:id="rId8" w:history="1"/>
      <w:r w:rsidRPr="003C0694">
        <w:rPr>
          <w:rFonts w:asciiTheme="majorHAnsi" w:hAnsiTheme="majorHAnsi"/>
          <w:sz w:val="24"/>
          <w:szCs w:val="24"/>
        </w:rPr>
        <w:t>his e-mail id would be monitored by compliance department on daily basis.</w:t>
      </w:r>
    </w:p>
    <w:p w14:paraId="4697C459" w14:textId="701E39CA" w:rsidR="00CB7C27" w:rsidRPr="003C0694" w:rsidRDefault="00CB7C27" w:rsidP="00C42F77">
      <w:pPr>
        <w:pStyle w:val="ListParagraph"/>
        <w:numPr>
          <w:ilvl w:val="0"/>
          <w:numId w:val="1"/>
        </w:numPr>
        <w:spacing w:after="0" w:line="240" w:lineRule="auto"/>
        <w:jc w:val="both"/>
        <w:rPr>
          <w:rFonts w:asciiTheme="majorHAnsi" w:hAnsiTheme="majorHAnsi"/>
          <w:sz w:val="24"/>
          <w:szCs w:val="24"/>
        </w:rPr>
      </w:pPr>
      <w:r w:rsidRPr="003C0694">
        <w:rPr>
          <w:rFonts w:asciiTheme="majorHAnsi" w:hAnsiTheme="majorHAnsi"/>
          <w:sz w:val="24"/>
          <w:szCs w:val="24"/>
        </w:rPr>
        <w:t xml:space="preserve">All the Investor Grievances received in writing at head office or at the </w:t>
      </w:r>
      <w:hyperlink r:id="rId9" w:history="1">
        <w:r w:rsidR="00575B1E" w:rsidRPr="000A26ED">
          <w:rPr>
            <w:rStyle w:val="Hyperlink"/>
            <w:rFonts w:asciiTheme="majorHAnsi" w:hAnsiTheme="majorHAnsi"/>
            <w:sz w:val="24"/>
            <w:szCs w:val="24"/>
          </w:rPr>
          <w:t>https://thelelavoir.com</w:t>
        </w:r>
      </w:hyperlink>
      <w:r w:rsidR="00BB08D0" w:rsidRPr="003C0694">
        <w:rPr>
          <w:rFonts w:asciiTheme="majorHAnsi" w:hAnsiTheme="majorHAnsi"/>
          <w:sz w:val="24"/>
          <w:szCs w:val="24"/>
        </w:rPr>
        <w:t xml:space="preserve"> </w:t>
      </w:r>
      <w:r w:rsidRPr="003C0694">
        <w:rPr>
          <w:rFonts w:asciiTheme="majorHAnsi" w:hAnsiTheme="majorHAnsi"/>
          <w:sz w:val="24"/>
          <w:szCs w:val="24"/>
        </w:rPr>
        <w:t>would be verified and scrutinize by the compliance department and it would initiate necessary steps to resolve the complaint within 1 -2 working days of the receipt of the complaint by them.</w:t>
      </w:r>
    </w:p>
    <w:p w14:paraId="4754697E" w14:textId="77777777" w:rsidR="00CB7C27" w:rsidRPr="003C0694" w:rsidRDefault="00CB7C27" w:rsidP="00C42F77">
      <w:pPr>
        <w:pStyle w:val="ListParagraph"/>
        <w:numPr>
          <w:ilvl w:val="0"/>
          <w:numId w:val="1"/>
        </w:numPr>
        <w:spacing w:after="0" w:line="240" w:lineRule="auto"/>
        <w:jc w:val="both"/>
        <w:rPr>
          <w:rFonts w:asciiTheme="majorHAnsi" w:hAnsiTheme="majorHAnsi"/>
          <w:sz w:val="24"/>
          <w:szCs w:val="24"/>
        </w:rPr>
      </w:pPr>
      <w:r w:rsidRPr="003C0694">
        <w:rPr>
          <w:rFonts w:asciiTheme="majorHAnsi" w:hAnsiTheme="majorHAnsi"/>
          <w:sz w:val="24"/>
          <w:szCs w:val="24"/>
        </w:rPr>
        <w:t>Full details of the complaint are thereafter shall be informed to the Compliance Officer and R&amp;TA of the Company as soon as it is received.</w:t>
      </w:r>
    </w:p>
    <w:p w14:paraId="0C5FD47A" w14:textId="77777777" w:rsidR="00CB7C27" w:rsidRPr="003C0694" w:rsidRDefault="00CB7C27" w:rsidP="00C42F77">
      <w:pPr>
        <w:pStyle w:val="ListParagraph"/>
        <w:numPr>
          <w:ilvl w:val="0"/>
          <w:numId w:val="1"/>
        </w:numPr>
        <w:spacing w:after="0" w:line="240" w:lineRule="auto"/>
        <w:jc w:val="both"/>
        <w:rPr>
          <w:rFonts w:asciiTheme="majorHAnsi" w:hAnsiTheme="majorHAnsi"/>
          <w:sz w:val="24"/>
          <w:szCs w:val="24"/>
        </w:rPr>
      </w:pPr>
      <w:r w:rsidRPr="003C0694">
        <w:rPr>
          <w:rFonts w:asciiTheme="majorHAnsi" w:hAnsiTheme="majorHAnsi"/>
          <w:sz w:val="24"/>
          <w:szCs w:val="24"/>
        </w:rPr>
        <w:t>A correspondence either by letter or e-mail shall be made with the investor who has submitted written complaints acknowledging receipt of the complaint.</w:t>
      </w:r>
    </w:p>
    <w:p w14:paraId="53670DA8" w14:textId="77777777" w:rsidR="00CB7C27" w:rsidRPr="003C0694" w:rsidRDefault="00CB7C27" w:rsidP="00C42F77">
      <w:pPr>
        <w:pStyle w:val="ListParagraph"/>
        <w:numPr>
          <w:ilvl w:val="0"/>
          <w:numId w:val="1"/>
        </w:numPr>
        <w:spacing w:after="0" w:line="240" w:lineRule="auto"/>
        <w:jc w:val="both"/>
        <w:rPr>
          <w:rFonts w:asciiTheme="majorHAnsi" w:hAnsiTheme="majorHAnsi"/>
          <w:sz w:val="24"/>
          <w:szCs w:val="24"/>
        </w:rPr>
      </w:pPr>
      <w:r w:rsidRPr="003C0694">
        <w:rPr>
          <w:rFonts w:asciiTheme="majorHAnsi" w:hAnsiTheme="majorHAnsi"/>
          <w:sz w:val="24"/>
          <w:szCs w:val="24"/>
        </w:rPr>
        <w:t>Corporate Secretarial Department shall obtain all information available on the complaint which is considered necessary for a proper investigation. It shall look into all the necessary information and undertakes to resolve them as soon as possible.</w:t>
      </w:r>
    </w:p>
    <w:p w14:paraId="3383CEDB" w14:textId="77777777" w:rsidR="00CB7C27" w:rsidRPr="003C0694" w:rsidRDefault="00CB7C27" w:rsidP="00C42F77">
      <w:pPr>
        <w:pStyle w:val="ListParagraph"/>
        <w:numPr>
          <w:ilvl w:val="0"/>
          <w:numId w:val="1"/>
        </w:numPr>
        <w:spacing w:after="0" w:line="240" w:lineRule="auto"/>
        <w:jc w:val="both"/>
        <w:rPr>
          <w:rFonts w:asciiTheme="majorHAnsi" w:hAnsiTheme="majorHAnsi"/>
          <w:sz w:val="24"/>
          <w:szCs w:val="24"/>
        </w:rPr>
      </w:pPr>
      <w:r w:rsidRPr="003C0694">
        <w:rPr>
          <w:rFonts w:asciiTheme="majorHAnsi" w:hAnsiTheme="majorHAnsi"/>
          <w:sz w:val="24"/>
          <w:szCs w:val="24"/>
        </w:rPr>
        <w:t>The Company shall follow the practice of resolving the investor complaint within 15-25 days of receipt of the same.</w:t>
      </w:r>
    </w:p>
    <w:p w14:paraId="62A385D1" w14:textId="77777777" w:rsidR="00CB7C27" w:rsidRPr="003C0694" w:rsidRDefault="00CB7C27" w:rsidP="00C42F77">
      <w:pPr>
        <w:pStyle w:val="ListParagraph"/>
        <w:numPr>
          <w:ilvl w:val="0"/>
          <w:numId w:val="1"/>
        </w:numPr>
        <w:spacing w:after="0" w:line="240" w:lineRule="auto"/>
        <w:jc w:val="both"/>
        <w:rPr>
          <w:rFonts w:asciiTheme="majorHAnsi" w:hAnsiTheme="majorHAnsi"/>
          <w:sz w:val="24"/>
          <w:szCs w:val="24"/>
        </w:rPr>
      </w:pPr>
      <w:r w:rsidRPr="003C0694">
        <w:rPr>
          <w:rFonts w:asciiTheme="majorHAnsi" w:hAnsiTheme="majorHAnsi"/>
          <w:sz w:val="24"/>
          <w:szCs w:val="24"/>
        </w:rPr>
        <w:t>The Status Report shall be obtained periodically from the R&amp;TA of the Company in respect of various correspondences and complaints against the Company.</w:t>
      </w:r>
    </w:p>
    <w:p w14:paraId="36519019" w14:textId="77777777" w:rsidR="00CB7C27" w:rsidRPr="003C0694" w:rsidRDefault="00CB7C27" w:rsidP="00C42F77">
      <w:pPr>
        <w:pStyle w:val="ListParagraph"/>
        <w:numPr>
          <w:ilvl w:val="0"/>
          <w:numId w:val="1"/>
        </w:numPr>
        <w:spacing w:after="0" w:line="240" w:lineRule="auto"/>
        <w:jc w:val="both"/>
        <w:rPr>
          <w:rFonts w:asciiTheme="majorHAnsi" w:hAnsiTheme="majorHAnsi"/>
          <w:sz w:val="24"/>
          <w:szCs w:val="24"/>
        </w:rPr>
      </w:pPr>
      <w:r w:rsidRPr="003C0694">
        <w:rPr>
          <w:rFonts w:asciiTheme="majorHAnsi" w:hAnsiTheme="majorHAnsi"/>
          <w:sz w:val="24"/>
          <w:szCs w:val="24"/>
        </w:rPr>
        <w:t xml:space="preserve">The Company shall engage a practicing Company Secretary for doing Reconciliation of Share Capital Audit on quarterly basis. The Practicing Company Secretary shall issue a Compliance Certificate about delivery of share certificates after registration of transfer within Fifteen days of the date of </w:t>
      </w:r>
      <w:r w:rsidR="00D16C01" w:rsidRPr="003C0694">
        <w:rPr>
          <w:rFonts w:asciiTheme="majorHAnsi" w:hAnsiTheme="majorHAnsi"/>
          <w:sz w:val="24"/>
          <w:szCs w:val="24"/>
        </w:rPr>
        <w:t>lodgement</w:t>
      </w:r>
      <w:r w:rsidRPr="003C0694">
        <w:rPr>
          <w:rFonts w:asciiTheme="majorHAnsi" w:hAnsiTheme="majorHAnsi"/>
          <w:sz w:val="24"/>
          <w:szCs w:val="24"/>
        </w:rPr>
        <w:t xml:space="preserve"> of transfer, on half yearly basis pursuant to </w:t>
      </w:r>
      <w:r w:rsidR="00A41360" w:rsidRPr="003C0694">
        <w:rPr>
          <w:rFonts w:asciiTheme="majorHAnsi" w:hAnsiTheme="majorHAnsi"/>
          <w:sz w:val="24"/>
          <w:szCs w:val="24"/>
        </w:rPr>
        <w:t>Regulation</w:t>
      </w:r>
      <w:r w:rsidRPr="003C0694">
        <w:rPr>
          <w:rFonts w:asciiTheme="majorHAnsi" w:hAnsiTheme="majorHAnsi"/>
          <w:sz w:val="24"/>
          <w:szCs w:val="24"/>
        </w:rPr>
        <w:t xml:space="preserve"> 40 of the Securities and Exchange Board of India (Listing Obligations and Disclosure Requirements) Regulations, 2015.</w:t>
      </w:r>
    </w:p>
    <w:p w14:paraId="7211DB82" w14:textId="77777777" w:rsidR="00CB7C27" w:rsidRPr="003C0694" w:rsidRDefault="00CB7C27" w:rsidP="00C42F77">
      <w:pPr>
        <w:pStyle w:val="ListParagraph"/>
        <w:numPr>
          <w:ilvl w:val="0"/>
          <w:numId w:val="1"/>
        </w:numPr>
        <w:spacing w:after="0" w:line="240" w:lineRule="auto"/>
        <w:jc w:val="both"/>
        <w:rPr>
          <w:rFonts w:asciiTheme="majorHAnsi" w:hAnsiTheme="majorHAnsi"/>
          <w:sz w:val="24"/>
          <w:szCs w:val="24"/>
        </w:rPr>
      </w:pPr>
      <w:r w:rsidRPr="003C0694">
        <w:rPr>
          <w:rFonts w:asciiTheme="majorHAnsi" w:hAnsiTheme="majorHAnsi"/>
          <w:sz w:val="24"/>
          <w:szCs w:val="24"/>
        </w:rPr>
        <w:t>The Status of receipt, redressal and pendency of all the complaints shall be placed before the Shareholders / Investors Grievance Committee on the quarterly basis.</w:t>
      </w:r>
    </w:p>
    <w:p w14:paraId="321EEE8F" w14:textId="324231BC" w:rsidR="00D4394F" w:rsidRPr="003C0694" w:rsidRDefault="00FF7821" w:rsidP="00C42F77">
      <w:pPr>
        <w:pStyle w:val="ListParagraph"/>
        <w:numPr>
          <w:ilvl w:val="0"/>
          <w:numId w:val="1"/>
        </w:numPr>
        <w:spacing w:after="0" w:line="240" w:lineRule="auto"/>
        <w:jc w:val="both"/>
        <w:rPr>
          <w:rFonts w:asciiTheme="majorHAnsi" w:hAnsiTheme="majorHAnsi"/>
          <w:sz w:val="24"/>
          <w:szCs w:val="24"/>
        </w:rPr>
      </w:pPr>
      <w:r w:rsidRPr="00FF7821">
        <w:rPr>
          <w:rFonts w:asciiTheme="majorHAnsi" w:hAnsiTheme="majorHAnsi"/>
          <w:sz w:val="24"/>
          <w:szCs w:val="24"/>
        </w:rPr>
        <w:t>Niche Technologies</w:t>
      </w:r>
      <w:r>
        <w:rPr>
          <w:rFonts w:asciiTheme="majorHAnsi" w:hAnsiTheme="majorHAnsi"/>
          <w:sz w:val="24"/>
          <w:szCs w:val="24"/>
        </w:rPr>
        <w:t xml:space="preserve"> Private</w:t>
      </w:r>
      <w:r w:rsidR="004245F5" w:rsidRPr="003C0694">
        <w:rPr>
          <w:rFonts w:asciiTheme="majorHAnsi" w:hAnsiTheme="majorHAnsi"/>
          <w:sz w:val="24"/>
          <w:szCs w:val="24"/>
        </w:rPr>
        <w:t xml:space="preserve"> Limited</w:t>
      </w:r>
      <w:r w:rsidR="00CB7C27" w:rsidRPr="003C0694">
        <w:rPr>
          <w:rFonts w:asciiTheme="majorHAnsi" w:hAnsiTheme="majorHAnsi"/>
          <w:sz w:val="24"/>
          <w:szCs w:val="24"/>
        </w:rPr>
        <w:t>, being Registrars and Transfer Agents (R&amp;TA) shall be primarily responsible to resolve the investor’s grievances related to Issue. Also, Registrars and Transfer Agents (R&amp;TA) of the Company shall be responsible for discharging investor service functions effectively, efficiently and expeditiously.</w:t>
      </w:r>
    </w:p>
    <w:p w14:paraId="67B29FD1" w14:textId="77777777" w:rsidR="00CB7C27" w:rsidRPr="003C0694" w:rsidRDefault="00CB7C27" w:rsidP="00C42F77">
      <w:pPr>
        <w:pStyle w:val="ListParagraph"/>
        <w:numPr>
          <w:ilvl w:val="0"/>
          <w:numId w:val="1"/>
        </w:numPr>
        <w:spacing w:after="0" w:line="240" w:lineRule="auto"/>
        <w:jc w:val="both"/>
        <w:rPr>
          <w:rFonts w:asciiTheme="majorHAnsi" w:hAnsiTheme="majorHAnsi"/>
          <w:sz w:val="24"/>
          <w:szCs w:val="24"/>
        </w:rPr>
      </w:pPr>
      <w:r w:rsidRPr="003C0694">
        <w:rPr>
          <w:rFonts w:asciiTheme="majorHAnsi" w:hAnsiTheme="majorHAnsi"/>
          <w:sz w:val="24"/>
          <w:szCs w:val="24"/>
        </w:rPr>
        <w:t>All the investor complaints/grievance received through SEBI by online “SEBI Complaints Redress System” (Scores) shall be checked regularly and replied/resolved expeditiously.</w:t>
      </w:r>
    </w:p>
    <w:p w14:paraId="4AA9F3C9" w14:textId="77777777" w:rsidR="00C42F77" w:rsidRPr="003C0694" w:rsidRDefault="00CB7C27" w:rsidP="00C42F77">
      <w:pPr>
        <w:pStyle w:val="ListParagraph"/>
        <w:numPr>
          <w:ilvl w:val="0"/>
          <w:numId w:val="1"/>
        </w:numPr>
        <w:spacing w:after="0" w:line="240" w:lineRule="auto"/>
        <w:jc w:val="both"/>
        <w:rPr>
          <w:rFonts w:asciiTheme="majorHAnsi" w:hAnsiTheme="majorHAnsi"/>
          <w:sz w:val="24"/>
          <w:szCs w:val="24"/>
        </w:rPr>
      </w:pPr>
      <w:r w:rsidRPr="003C0694">
        <w:rPr>
          <w:rFonts w:asciiTheme="majorHAnsi" w:hAnsiTheme="majorHAnsi"/>
          <w:sz w:val="24"/>
          <w:szCs w:val="24"/>
        </w:rPr>
        <w:lastRenderedPageBreak/>
        <w:t>All the investor grievances shall be handled in the following manner by the compliance department:</w:t>
      </w:r>
    </w:p>
    <w:p w14:paraId="74FA3E35" w14:textId="77777777" w:rsidR="00CB7C27" w:rsidRPr="003C0694" w:rsidRDefault="00CB7C27" w:rsidP="00C42F77">
      <w:pPr>
        <w:pStyle w:val="ListParagraph"/>
        <w:spacing w:after="0" w:line="240" w:lineRule="auto"/>
        <w:jc w:val="both"/>
        <w:rPr>
          <w:rFonts w:asciiTheme="majorHAnsi" w:hAnsiTheme="majorHAnsi"/>
          <w:sz w:val="24"/>
          <w:szCs w:val="24"/>
        </w:rPr>
      </w:pPr>
    </w:p>
    <w:p w14:paraId="3F316F70" w14:textId="77777777" w:rsidR="00CB7C27" w:rsidRPr="003C0694" w:rsidRDefault="00CB7C27" w:rsidP="00C42F77">
      <w:pPr>
        <w:pStyle w:val="ListParagraph"/>
        <w:numPr>
          <w:ilvl w:val="1"/>
          <w:numId w:val="3"/>
        </w:numPr>
        <w:spacing w:after="0" w:line="240" w:lineRule="auto"/>
        <w:jc w:val="both"/>
        <w:rPr>
          <w:rFonts w:asciiTheme="majorHAnsi" w:hAnsiTheme="majorHAnsi"/>
          <w:sz w:val="24"/>
          <w:szCs w:val="24"/>
        </w:rPr>
      </w:pPr>
      <w:r w:rsidRPr="003C0694">
        <w:rPr>
          <w:rFonts w:asciiTheme="majorHAnsi" w:hAnsiTheme="majorHAnsi"/>
          <w:sz w:val="24"/>
          <w:szCs w:val="24"/>
        </w:rPr>
        <w:t>All the investor grievances (hard copy or softcopy) shall be updated in an excel register (soft</w:t>
      </w:r>
      <w:r w:rsidR="00A41360" w:rsidRPr="003C0694">
        <w:rPr>
          <w:rFonts w:asciiTheme="majorHAnsi" w:hAnsiTheme="majorHAnsi"/>
          <w:sz w:val="24"/>
          <w:szCs w:val="24"/>
        </w:rPr>
        <w:t xml:space="preserve"> </w:t>
      </w:r>
      <w:r w:rsidRPr="003C0694">
        <w:rPr>
          <w:rFonts w:asciiTheme="majorHAnsi" w:hAnsiTheme="majorHAnsi"/>
          <w:sz w:val="24"/>
          <w:szCs w:val="24"/>
        </w:rPr>
        <w:t>copy) as in the format specified in Annexure-1 on the same day of the receipt of the complaint. This register should be monitored by the compliance officer.</w:t>
      </w:r>
    </w:p>
    <w:p w14:paraId="668D0303" w14:textId="77777777" w:rsidR="00CB7C27" w:rsidRPr="003C0694" w:rsidRDefault="00CB7C27" w:rsidP="00C42F77">
      <w:pPr>
        <w:pStyle w:val="ListParagraph"/>
        <w:numPr>
          <w:ilvl w:val="1"/>
          <w:numId w:val="3"/>
        </w:numPr>
        <w:spacing w:after="0" w:line="240" w:lineRule="auto"/>
        <w:jc w:val="both"/>
        <w:rPr>
          <w:rFonts w:asciiTheme="majorHAnsi" w:hAnsiTheme="majorHAnsi"/>
          <w:sz w:val="24"/>
          <w:szCs w:val="24"/>
        </w:rPr>
      </w:pPr>
      <w:r w:rsidRPr="003C0694">
        <w:rPr>
          <w:rFonts w:asciiTheme="majorHAnsi" w:hAnsiTheme="majorHAnsi"/>
          <w:sz w:val="24"/>
          <w:szCs w:val="24"/>
        </w:rPr>
        <w:t>After verification and scrutiny, the appropriate steps should be initiated to resolve the complaint at the earliest.</w:t>
      </w:r>
    </w:p>
    <w:p w14:paraId="4AB97670" w14:textId="77777777" w:rsidR="00CB7C27" w:rsidRPr="003C0694" w:rsidRDefault="00CB7C27" w:rsidP="00C42F77">
      <w:pPr>
        <w:pStyle w:val="ListParagraph"/>
        <w:numPr>
          <w:ilvl w:val="1"/>
          <w:numId w:val="3"/>
        </w:numPr>
        <w:spacing w:after="0" w:line="240" w:lineRule="auto"/>
        <w:jc w:val="both"/>
        <w:rPr>
          <w:rFonts w:asciiTheme="majorHAnsi" w:hAnsiTheme="majorHAnsi"/>
          <w:sz w:val="24"/>
          <w:szCs w:val="24"/>
        </w:rPr>
      </w:pPr>
      <w:r w:rsidRPr="003C0694">
        <w:rPr>
          <w:rFonts w:asciiTheme="majorHAnsi" w:hAnsiTheme="majorHAnsi"/>
          <w:sz w:val="24"/>
          <w:szCs w:val="24"/>
        </w:rPr>
        <w:t>A monthly MIS of the complaints received, pending and or resolved would be given to the designated Directors of the Company.</w:t>
      </w:r>
    </w:p>
    <w:p w14:paraId="48017330" w14:textId="77777777" w:rsidR="00CB7C27" w:rsidRPr="003C0694" w:rsidRDefault="00CB7C27" w:rsidP="00C42F77">
      <w:pPr>
        <w:pStyle w:val="ListParagraph"/>
        <w:numPr>
          <w:ilvl w:val="1"/>
          <w:numId w:val="3"/>
        </w:numPr>
        <w:spacing w:after="0" w:line="240" w:lineRule="auto"/>
        <w:jc w:val="both"/>
        <w:rPr>
          <w:rFonts w:asciiTheme="majorHAnsi" w:hAnsiTheme="majorHAnsi"/>
          <w:sz w:val="24"/>
          <w:szCs w:val="24"/>
        </w:rPr>
      </w:pPr>
      <w:r w:rsidRPr="003C0694">
        <w:rPr>
          <w:rFonts w:asciiTheme="majorHAnsi" w:hAnsiTheme="majorHAnsi"/>
          <w:sz w:val="24"/>
          <w:szCs w:val="24"/>
        </w:rPr>
        <w:t>As per the exchange/ depositary/ SEBI directives the complaint register has to be maintained in hardcopy function wise i.e. Broking compliant register, DP complaint register and PMS complaint register as in the format specified in Annexure-1</w:t>
      </w:r>
    </w:p>
    <w:p w14:paraId="7AACE3BB" w14:textId="77777777" w:rsidR="00CB7C27" w:rsidRPr="003C0694" w:rsidRDefault="00CB7C27" w:rsidP="00C42F77">
      <w:pPr>
        <w:pStyle w:val="ListParagraph"/>
        <w:numPr>
          <w:ilvl w:val="1"/>
          <w:numId w:val="3"/>
        </w:numPr>
        <w:spacing w:after="0" w:line="240" w:lineRule="auto"/>
        <w:jc w:val="both"/>
        <w:rPr>
          <w:rFonts w:asciiTheme="majorHAnsi" w:hAnsiTheme="majorHAnsi"/>
          <w:sz w:val="24"/>
          <w:szCs w:val="24"/>
        </w:rPr>
      </w:pPr>
      <w:r w:rsidRPr="003C0694">
        <w:rPr>
          <w:rFonts w:asciiTheme="majorHAnsi" w:hAnsiTheme="majorHAnsi"/>
          <w:sz w:val="24"/>
          <w:szCs w:val="24"/>
        </w:rPr>
        <w:t>Therefore, compliance department shall ensure that depending upon the type of the complaint, all the information i.e. from the receipt of the complaint till the status of being resolved would be updated in the register as stated in point 10 d</w:t>
      </w:r>
    </w:p>
    <w:p w14:paraId="55A98155" w14:textId="77777777" w:rsidR="00C42F77" w:rsidRPr="003C0694" w:rsidRDefault="00C42F77" w:rsidP="00C42F77">
      <w:pPr>
        <w:pStyle w:val="ListParagraph"/>
        <w:spacing w:after="0" w:line="240" w:lineRule="auto"/>
        <w:ind w:left="1440"/>
        <w:jc w:val="both"/>
        <w:rPr>
          <w:rFonts w:asciiTheme="majorHAnsi" w:hAnsiTheme="majorHAnsi"/>
          <w:sz w:val="24"/>
          <w:szCs w:val="24"/>
        </w:rPr>
      </w:pPr>
    </w:p>
    <w:p w14:paraId="62D37238" w14:textId="77777777" w:rsidR="00CB7C27" w:rsidRPr="003C0694" w:rsidRDefault="00CB7C27" w:rsidP="00C42F77">
      <w:pPr>
        <w:pStyle w:val="ListParagraph"/>
        <w:numPr>
          <w:ilvl w:val="0"/>
          <w:numId w:val="1"/>
        </w:numPr>
        <w:spacing w:after="0" w:line="240" w:lineRule="auto"/>
        <w:jc w:val="both"/>
        <w:rPr>
          <w:rFonts w:asciiTheme="majorHAnsi" w:hAnsiTheme="majorHAnsi"/>
          <w:sz w:val="24"/>
          <w:szCs w:val="24"/>
        </w:rPr>
      </w:pPr>
      <w:r w:rsidRPr="003C0694">
        <w:rPr>
          <w:rFonts w:asciiTheme="majorHAnsi" w:hAnsiTheme="majorHAnsi"/>
          <w:sz w:val="24"/>
          <w:szCs w:val="24"/>
        </w:rPr>
        <w:t>The compliance officer should ensure that it gives its sign-off only after the complaint is resolved.</w:t>
      </w:r>
    </w:p>
    <w:p w14:paraId="64D1AE1A" w14:textId="77777777" w:rsidR="00C42F77" w:rsidRPr="003C0694" w:rsidRDefault="00C42F77" w:rsidP="00C42F77">
      <w:pPr>
        <w:spacing w:after="0" w:line="240" w:lineRule="auto"/>
        <w:jc w:val="both"/>
        <w:rPr>
          <w:rFonts w:asciiTheme="majorHAnsi" w:hAnsiTheme="majorHAnsi"/>
          <w:sz w:val="24"/>
          <w:szCs w:val="24"/>
        </w:rPr>
      </w:pPr>
    </w:p>
    <w:p w14:paraId="5B10FA87" w14:textId="77777777" w:rsidR="00CB7C27" w:rsidRPr="003C0694" w:rsidRDefault="00CB7C27" w:rsidP="00C42F77">
      <w:pPr>
        <w:pStyle w:val="ListParagraph"/>
        <w:numPr>
          <w:ilvl w:val="0"/>
          <w:numId w:val="1"/>
        </w:numPr>
        <w:spacing w:after="0" w:line="240" w:lineRule="auto"/>
        <w:jc w:val="both"/>
        <w:rPr>
          <w:rFonts w:asciiTheme="majorHAnsi" w:hAnsiTheme="majorHAnsi"/>
          <w:sz w:val="24"/>
          <w:szCs w:val="24"/>
        </w:rPr>
      </w:pPr>
      <w:r w:rsidRPr="003C0694">
        <w:rPr>
          <w:rFonts w:asciiTheme="majorHAnsi" w:hAnsiTheme="majorHAnsi"/>
          <w:sz w:val="24"/>
          <w:szCs w:val="24"/>
        </w:rPr>
        <w:t>This policy is to be reviewed as &amp; when management thinks fit or when</w:t>
      </w:r>
      <w:r w:rsidR="004245F5" w:rsidRPr="003C0694">
        <w:rPr>
          <w:rFonts w:asciiTheme="majorHAnsi" w:hAnsiTheme="majorHAnsi"/>
          <w:sz w:val="24"/>
          <w:szCs w:val="24"/>
        </w:rPr>
        <w:t xml:space="preserve">ever changes are </w:t>
      </w:r>
      <w:r w:rsidRPr="003C0694">
        <w:rPr>
          <w:rFonts w:asciiTheme="majorHAnsi" w:hAnsiTheme="majorHAnsi"/>
          <w:sz w:val="24"/>
          <w:szCs w:val="24"/>
        </w:rPr>
        <w:t>mandated by statutory authorities.</w:t>
      </w:r>
    </w:p>
    <w:p w14:paraId="3567FA24" w14:textId="77777777" w:rsidR="00C42F77" w:rsidRPr="003C0694" w:rsidRDefault="00C42F77" w:rsidP="00C42F77">
      <w:pPr>
        <w:spacing w:after="0" w:line="240" w:lineRule="auto"/>
        <w:rPr>
          <w:rFonts w:asciiTheme="majorHAnsi" w:hAnsiTheme="majorHAnsi"/>
          <w:b/>
          <w:sz w:val="24"/>
          <w:szCs w:val="24"/>
        </w:rPr>
      </w:pPr>
    </w:p>
    <w:p w14:paraId="70F3FC89" w14:textId="77777777" w:rsidR="00CB7C27" w:rsidRPr="003C0694" w:rsidRDefault="00CB7C27" w:rsidP="00C42F77">
      <w:pPr>
        <w:spacing w:after="0" w:line="240" w:lineRule="auto"/>
        <w:rPr>
          <w:rFonts w:asciiTheme="majorHAnsi" w:hAnsiTheme="majorHAnsi"/>
          <w:b/>
          <w:sz w:val="24"/>
          <w:szCs w:val="24"/>
        </w:rPr>
      </w:pPr>
      <w:r w:rsidRPr="003C0694">
        <w:rPr>
          <w:rFonts w:asciiTheme="majorHAnsi" w:hAnsiTheme="majorHAnsi"/>
          <w:b/>
          <w:sz w:val="24"/>
          <w:szCs w:val="24"/>
        </w:rPr>
        <w:t>Annexure-1</w:t>
      </w:r>
    </w:p>
    <w:p w14:paraId="5B2BFC38" w14:textId="77777777" w:rsidR="00C42F77" w:rsidRPr="003C0694" w:rsidRDefault="00C42F77" w:rsidP="00C42F77">
      <w:pPr>
        <w:spacing w:after="0" w:line="240" w:lineRule="auto"/>
        <w:rPr>
          <w:rFonts w:asciiTheme="majorHAnsi" w:hAnsiTheme="majorHAnsi"/>
          <w:b/>
          <w:sz w:val="24"/>
          <w:szCs w:val="24"/>
        </w:rPr>
      </w:pPr>
    </w:p>
    <w:tbl>
      <w:tblPr>
        <w:tblStyle w:val="TableGrid"/>
        <w:tblW w:w="0" w:type="auto"/>
        <w:tblLook w:val="04A0" w:firstRow="1" w:lastRow="0" w:firstColumn="1" w:lastColumn="0" w:noHBand="0" w:noVBand="1"/>
      </w:tblPr>
      <w:tblGrid>
        <w:gridCol w:w="459"/>
        <w:gridCol w:w="566"/>
        <w:gridCol w:w="970"/>
        <w:gridCol w:w="1016"/>
        <w:gridCol w:w="970"/>
        <w:gridCol w:w="1309"/>
        <w:gridCol w:w="1098"/>
        <w:gridCol w:w="945"/>
        <w:gridCol w:w="865"/>
        <w:gridCol w:w="1044"/>
      </w:tblGrid>
      <w:tr w:rsidR="00CB7C27" w:rsidRPr="003C0694" w14:paraId="5468876F" w14:textId="77777777" w:rsidTr="00C42F77">
        <w:tc>
          <w:tcPr>
            <w:tcW w:w="0" w:type="auto"/>
          </w:tcPr>
          <w:p w14:paraId="4177D246" w14:textId="77777777" w:rsidR="00CB7C27" w:rsidRPr="003C0694" w:rsidRDefault="00CB7C27" w:rsidP="00C42F77">
            <w:pPr>
              <w:rPr>
                <w:rFonts w:asciiTheme="majorHAnsi" w:hAnsiTheme="majorHAnsi"/>
                <w:sz w:val="24"/>
                <w:szCs w:val="24"/>
              </w:rPr>
            </w:pPr>
            <w:r w:rsidRPr="003C0694">
              <w:rPr>
                <w:rFonts w:asciiTheme="majorHAnsi" w:hAnsiTheme="majorHAnsi"/>
                <w:sz w:val="24"/>
                <w:szCs w:val="24"/>
              </w:rPr>
              <w:t>Sr.</w:t>
            </w:r>
          </w:p>
          <w:p w14:paraId="2CCAB0C8" w14:textId="77777777" w:rsidR="00CB7C27" w:rsidRPr="003C0694" w:rsidRDefault="00CB7C27" w:rsidP="00C42F77">
            <w:pPr>
              <w:rPr>
                <w:rFonts w:asciiTheme="majorHAnsi" w:hAnsiTheme="majorHAnsi"/>
                <w:sz w:val="24"/>
                <w:szCs w:val="24"/>
              </w:rPr>
            </w:pPr>
            <w:r w:rsidRPr="003C0694">
              <w:rPr>
                <w:rFonts w:asciiTheme="majorHAnsi" w:hAnsiTheme="majorHAnsi"/>
                <w:sz w:val="24"/>
                <w:szCs w:val="24"/>
              </w:rPr>
              <w:t>No</w:t>
            </w:r>
            <w:r w:rsidR="00A41360" w:rsidRPr="003C0694">
              <w:rPr>
                <w:rFonts w:asciiTheme="majorHAnsi" w:hAnsiTheme="majorHAnsi"/>
                <w:sz w:val="24"/>
                <w:szCs w:val="24"/>
              </w:rPr>
              <w:t>.</w:t>
            </w:r>
          </w:p>
        </w:tc>
        <w:tc>
          <w:tcPr>
            <w:tcW w:w="0" w:type="auto"/>
          </w:tcPr>
          <w:p w14:paraId="76ECAAF7" w14:textId="77777777" w:rsidR="00CB7C27" w:rsidRPr="003C0694" w:rsidRDefault="00CB7C27" w:rsidP="00C42F77">
            <w:pPr>
              <w:ind w:right="-108"/>
              <w:rPr>
                <w:rFonts w:asciiTheme="majorHAnsi" w:hAnsiTheme="majorHAnsi"/>
                <w:sz w:val="24"/>
                <w:szCs w:val="24"/>
              </w:rPr>
            </w:pPr>
            <w:r w:rsidRPr="003C0694">
              <w:rPr>
                <w:rFonts w:asciiTheme="majorHAnsi" w:hAnsiTheme="majorHAnsi"/>
                <w:sz w:val="24"/>
                <w:szCs w:val="24"/>
              </w:rPr>
              <w:t>Client Code</w:t>
            </w:r>
          </w:p>
        </w:tc>
        <w:tc>
          <w:tcPr>
            <w:tcW w:w="0" w:type="auto"/>
          </w:tcPr>
          <w:p w14:paraId="7067BC6A" w14:textId="77777777" w:rsidR="00CB7C27" w:rsidRPr="003C0694" w:rsidRDefault="00CB7C27" w:rsidP="00C42F77">
            <w:pPr>
              <w:rPr>
                <w:rFonts w:asciiTheme="majorHAnsi" w:hAnsiTheme="majorHAnsi"/>
                <w:sz w:val="24"/>
                <w:szCs w:val="24"/>
              </w:rPr>
            </w:pPr>
            <w:r w:rsidRPr="003C0694">
              <w:rPr>
                <w:rFonts w:asciiTheme="majorHAnsi" w:hAnsiTheme="majorHAnsi"/>
                <w:sz w:val="24"/>
                <w:szCs w:val="24"/>
              </w:rPr>
              <w:t>Client Name &amp; Date of Complaint</w:t>
            </w:r>
          </w:p>
        </w:tc>
        <w:tc>
          <w:tcPr>
            <w:tcW w:w="0" w:type="auto"/>
          </w:tcPr>
          <w:p w14:paraId="56B423EB" w14:textId="77777777" w:rsidR="00CB7C27" w:rsidRPr="003C0694" w:rsidRDefault="00CB7C27" w:rsidP="00C42F77">
            <w:pPr>
              <w:rPr>
                <w:rFonts w:asciiTheme="majorHAnsi" w:hAnsiTheme="majorHAnsi"/>
                <w:sz w:val="24"/>
                <w:szCs w:val="24"/>
              </w:rPr>
            </w:pPr>
            <w:r w:rsidRPr="003C0694">
              <w:rPr>
                <w:rFonts w:asciiTheme="majorHAnsi" w:hAnsiTheme="majorHAnsi"/>
                <w:sz w:val="24"/>
                <w:szCs w:val="24"/>
              </w:rPr>
              <w:t>Particulars of Complaint</w:t>
            </w:r>
          </w:p>
        </w:tc>
        <w:tc>
          <w:tcPr>
            <w:tcW w:w="0" w:type="auto"/>
          </w:tcPr>
          <w:p w14:paraId="57D2E07C" w14:textId="77777777" w:rsidR="00CB7C27" w:rsidRPr="003C0694" w:rsidRDefault="00CB7C27" w:rsidP="00C42F77">
            <w:pPr>
              <w:rPr>
                <w:rFonts w:asciiTheme="majorHAnsi" w:hAnsiTheme="majorHAnsi"/>
                <w:sz w:val="24"/>
                <w:szCs w:val="24"/>
              </w:rPr>
            </w:pPr>
            <w:r w:rsidRPr="003C0694">
              <w:rPr>
                <w:rFonts w:asciiTheme="majorHAnsi" w:hAnsiTheme="majorHAnsi"/>
                <w:sz w:val="24"/>
                <w:szCs w:val="24"/>
              </w:rPr>
              <w:t>Complaint Receipt Date</w:t>
            </w:r>
          </w:p>
        </w:tc>
        <w:tc>
          <w:tcPr>
            <w:tcW w:w="0" w:type="auto"/>
          </w:tcPr>
          <w:p w14:paraId="4FFAE763" w14:textId="77777777" w:rsidR="00CB7C27" w:rsidRPr="003C0694" w:rsidRDefault="00CB7C27" w:rsidP="00C42F77">
            <w:pPr>
              <w:rPr>
                <w:rFonts w:asciiTheme="majorHAnsi" w:hAnsiTheme="majorHAnsi"/>
                <w:sz w:val="24"/>
                <w:szCs w:val="24"/>
              </w:rPr>
            </w:pPr>
            <w:r w:rsidRPr="003C0694">
              <w:rPr>
                <w:rFonts w:asciiTheme="majorHAnsi" w:hAnsiTheme="majorHAnsi"/>
                <w:sz w:val="24"/>
                <w:szCs w:val="24"/>
              </w:rPr>
              <w:t>Mode of Receipt</w:t>
            </w:r>
          </w:p>
        </w:tc>
        <w:tc>
          <w:tcPr>
            <w:tcW w:w="0" w:type="auto"/>
          </w:tcPr>
          <w:p w14:paraId="678BA1D8" w14:textId="77777777" w:rsidR="00CB7C27" w:rsidRPr="003C0694" w:rsidRDefault="00CB7C27" w:rsidP="00C42F77">
            <w:pPr>
              <w:rPr>
                <w:rFonts w:asciiTheme="majorHAnsi" w:hAnsiTheme="majorHAnsi"/>
                <w:sz w:val="24"/>
                <w:szCs w:val="24"/>
              </w:rPr>
            </w:pPr>
            <w:r w:rsidRPr="003C0694">
              <w:rPr>
                <w:rFonts w:asciiTheme="majorHAnsi" w:hAnsiTheme="majorHAnsi"/>
                <w:sz w:val="24"/>
                <w:szCs w:val="24"/>
              </w:rPr>
              <w:t>Handover to Department</w:t>
            </w:r>
          </w:p>
        </w:tc>
        <w:tc>
          <w:tcPr>
            <w:tcW w:w="0" w:type="auto"/>
          </w:tcPr>
          <w:p w14:paraId="72CCD659" w14:textId="77777777" w:rsidR="00CB7C27" w:rsidRPr="003C0694" w:rsidRDefault="00CB7C27" w:rsidP="00C42F77">
            <w:pPr>
              <w:rPr>
                <w:rFonts w:asciiTheme="majorHAnsi" w:hAnsiTheme="majorHAnsi"/>
                <w:sz w:val="24"/>
                <w:szCs w:val="24"/>
              </w:rPr>
            </w:pPr>
            <w:r w:rsidRPr="003C0694">
              <w:rPr>
                <w:rFonts w:asciiTheme="majorHAnsi" w:hAnsiTheme="majorHAnsi"/>
                <w:sz w:val="24"/>
                <w:szCs w:val="24"/>
              </w:rPr>
              <w:t>Date of Redressal of Grievance</w:t>
            </w:r>
          </w:p>
        </w:tc>
        <w:tc>
          <w:tcPr>
            <w:tcW w:w="0" w:type="auto"/>
          </w:tcPr>
          <w:p w14:paraId="37481057" w14:textId="77777777" w:rsidR="00CB7C27" w:rsidRPr="003C0694" w:rsidRDefault="00CB7C27" w:rsidP="00C42F77">
            <w:pPr>
              <w:rPr>
                <w:rFonts w:asciiTheme="majorHAnsi" w:hAnsiTheme="majorHAnsi"/>
                <w:sz w:val="24"/>
                <w:szCs w:val="24"/>
              </w:rPr>
            </w:pPr>
            <w:r w:rsidRPr="003C0694">
              <w:rPr>
                <w:rFonts w:asciiTheme="majorHAnsi" w:hAnsiTheme="majorHAnsi"/>
                <w:sz w:val="24"/>
                <w:szCs w:val="24"/>
              </w:rPr>
              <w:t>Remarks</w:t>
            </w:r>
          </w:p>
        </w:tc>
        <w:tc>
          <w:tcPr>
            <w:tcW w:w="0" w:type="auto"/>
          </w:tcPr>
          <w:p w14:paraId="62A7A4C2" w14:textId="77777777" w:rsidR="00CB7C27" w:rsidRPr="003C0694" w:rsidRDefault="00CB7C27" w:rsidP="00C42F77">
            <w:pPr>
              <w:rPr>
                <w:rFonts w:asciiTheme="majorHAnsi" w:hAnsiTheme="majorHAnsi"/>
                <w:sz w:val="24"/>
                <w:szCs w:val="24"/>
              </w:rPr>
            </w:pPr>
            <w:r w:rsidRPr="003C0694">
              <w:rPr>
                <w:rFonts w:asciiTheme="majorHAnsi" w:hAnsiTheme="majorHAnsi"/>
                <w:sz w:val="24"/>
                <w:szCs w:val="24"/>
              </w:rPr>
              <w:t>Filing of Complaints to Exchange</w:t>
            </w:r>
          </w:p>
        </w:tc>
      </w:tr>
      <w:tr w:rsidR="00CB7C27" w:rsidRPr="003C0694" w14:paraId="30315CDC" w14:textId="77777777" w:rsidTr="00C42F77">
        <w:tc>
          <w:tcPr>
            <w:tcW w:w="0" w:type="auto"/>
          </w:tcPr>
          <w:p w14:paraId="492088D0" w14:textId="77777777" w:rsidR="00CB7C27" w:rsidRPr="003C0694" w:rsidRDefault="00CB7C27" w:rsidP="00C42F77">
            <w:pPr>
              <w:rPr>
                <w:rFonts w:asciiTheme="majorHAnsi" w:hAnsiTheme="majorHAnsi"/>
                <w:sz w:val="24"/>
                <w:szCs w:val="24"/>
              </w:rPr>
            </w:pPr>
          </w:p>
        </w:tc>
        <w:tc>
          <w:tcPr>
            <w:tcW w:w="0" w:type="auto"/>
          </w:tcPr>
          <w:p w14:paraId="002D6517" w14:textId="77777777" w:rsidR="00CB7C27" w:rsidRPr="003C0694" w:rsidRDefault="00CB7C27" w:rsidP="00C42F77">
            <w:pPr>
              <w:rPr>
                <w:rFonts w:asciiTheme="majorHAnsi" w:hAnsiTheme="majorHAnsi"/>
                <w:sz w:val="24"/>
                <w:szCs w:val="24"/>
              </w:rPr>
            </w:pPr>
          </w:p>
        </w:tc>
        <w:tc>
          <w:tcPr>
            <w:tcW w:w="0" w:type="auto"/>
          </w:tcPr>
          <w:p w14:paraId="688BC871" w14:textId="77777777" w:rsidR="00CB7C27" w:rsidRPr="003C0694" w:rsidRDefault="00CB7C27" w:rsidP="00C42F77">
            <w:pPr>
              <w:rPr>
                <w:rFonts w:asciiTheme="majorHAnsi" w:hAnsiTheme="majorHAnsi"/>
                <w:sz w:val="24"/>
                <w:szCs w:val="24"/>
              </w:rPr>
            </w:pPr>
            <w:r w:rsidRPr="003C0694">
              <w:rPr>
                <w:rFonts w:asciiTheme="majorHAnsi" w:hAnsiTheme="majorHAnsi"/>
                <w:sz w:val="24"/>
                <w:szCs w:val="24"/>
              </w:rPr>
              <w:t>(Letter Date)</w:t>
            </w:r>
          </w:p>
        </w:tc>
        <w:tc>
          <w:tcPr>
            <w:tcW w:w="0" w:type="auto"/>
          </w:tcPr>
          <w:p w14:paraId="559593E2" w14:textId="77777777" w:rsidR="00CB7C27" w:rsidRPr="003C0694" w:rsidRDefault="00CB7C27" w:rsidP="00C42F77">
            <w:pPr>
              <w:rPr>
                <w:rFonts w:asciiTheme="majorHAnsi" w:hAnsiTheme="majorHAnsi"/>
                <w:sz w:val="24"/>
                <w:szCs w:val="24"/>
              </w:rPr>
            </w:pPr>
          </w:p>
        </w:tc>
        <w:tc>
          <w:tcPr>
            <w:tcW w:w="0" w:type="auto"/>
          </w:tcPr>
          <w:p w14:paraId="66571E7D" w14:textId="77777777" w:rsidR="00CB7C27" w:rsidRPr="003C0694" w:rsidRDefault="00CB7C27" w:rsidP="00C42F77">
            <w:pPr>
              <w:rPr>
                <w:rFonts w:asciiTheme="majorHAnsi" w:hAnsiTheme="majorHAnsi"/>
                <w:sz w:val="24"/>
                <w:szCs w:val="24"/>
              </w:rPr>
            </w:pPr>
          </w:p>
        </w:tc>
        <w:tc>
          <w:tcPr>
            <w:tcW w:w="0" w:type="auto"/>
          </w:tcPr>
          <w:p w14:paraId="37399600" w14:textId="77777777" w:rsidR="00CB7C27" w:rsidRPr="003C0694" w:rsidRDefault="00CB7C27" w:rsidP="00C42F77">
            <w:pPr>
              <w:rPr>
                <w:rFonts w:asciiTheme="majorHAnsi" w:hAnsiTheme="majorHAnsi"/>
                <w:sz w:val="24"/>
                <w:szCs w:val="24"/>
              </w:rPr>
            </w:pPr>
            <w:r w:rsidRPr="003C0694">
              <w:rPr>
                <w:rFonts w:asciiTheme="majorHAnsi" w:hAnsiTheme="majorHAnsi"/>
                <w:sz w:val="24"/>
                <w:szCs w:val="24"/>
              </w:rPr>
              <w:t>Email/</w:t>
            </w:r>
            <w:r w:rsidR="00C42F77" w:rsidRPr="003C0694">
              <w:rPr>
                <w:rFonts w:asciiTheme="majorHAnsi" w:hAnsiTheme="majorHAnsi"/>
                <w:sz w:val="24"/>
                <w:szCs w:val="24"/>
              </w:rPr>
              <w:t xml:space="preserve"> </w:t>
            </w:r>
            <w:r w:rsidRPr="003C0694">
              <w:rPr>
                <w:rFonts w:asciiTheme="majorHAnsi" w:hAnsiTheme="majorHAnsi"/>
                <w:sz w:val="24"/>
                <w:szCs w:val="24"/>
              </w:rPr>
              <w:t>Letters/Others</w:t>
            </w:r>
          </w:p>
        </w:tc>
        <w:tc>
          <w:tcPr>
            <w:tcW w:w="0" w:type="auto"/>
          </w:tcPr>
          <w:p w14:paraId="373C49C1" w14:textId="77777777" w:rsidR="00CB7C27" w:rsidRPr="003C0694" w:rsidRDefault="00CB7C27" w:rsidP="00C42F77">
            <w:pPr>
              <w:rPr>
                <w:rFonts w:asciiTheme="majorHAnsi" w:hAnsiTheme="majorHAnsi"/>
                <w:sz w:val="24"/>
                <w:szCs w:val="24"/>
              </w:rPr>
            </w:pPr>
          </w:p>
        </w:tc>
        <w:tc>
          <w:tcPr>
            <w:tcW w:w="0" w:type="auto"/>
          </w:tcPr>
          <w:p w14:paraId="1EE63D18" w14:textId="77777777" w:rsidR="00CB7C27" w:rsidRPr="003C0694" w:rsidRDefault="00CB7C27" w:rsidP="00C42F77">
            <w:pPr>
              <w:rPr>
                <w:rFonts w:asciiTheme="majorHAnsi" w:hAnsiTheme="majorHAnsi"/>
                <w:sz w:val="24"/>
                <w:szCs w:val="24"/>
              </w:rPr>
            </w:pPr>
          </w:p>
        </w:tc>
        <w:tc>
          <w:tcPr>
            <w:tcW w:w="0" w:type="auto"/>
          </w:tcPr>
          <w:p w14:paraId="01C27C3E" w14:textId="77777777" w:rsidR="00CB7C27" w:rsidRPr="003C0694" w:rsidRDefault="00CB7C27" w:rsidP="00C42F77">
            <w:pPr>
              <w:rPr>
                <w:rFonts w:asciiTheme="majorHAnsi" w:hAnsiTheme="majorHAnsi"/>
                <w:sz w:val="24"/>
                <w:szCs w:val="24"/>
              </w:rPr>
            </w:pPr>
          </w:p>
        </w:tc>
        <w:tc>
          <w:tcPr>
            <w:tcW w:w="0" w:type="auto"/>
          </w:tcPr>
          <w:p w14:paraId="1D2504AF" w14:textId="77777777" w:rsidR="00CB7C27" w:rsidRPr="003C0694" w:rsidRDefault="00CB7C27" w:rsidP="00C42F77">
            <w:pPr>
              <w:rPr>
                <w:rFonts w:asciiTheme="majorHAnsi" w:hAnsiTheme="majorHAnsi"/>
                <w:sz w:val="24"/>
                <w:szCs w:val="24"/>
              </w:rPr>
            </w:pPr>
          </w:p>
        </w:tc>
      </w:tr>
      <w:tr w:rsidR="00CB7C27" w:rsidRPr="003C0694" w14:paraId="5C135487" w14:textId="77777777" w:rsidTr="00C42F77">
        <w:tc>
          <w:tcPr>
            <w:tcW w:w="0" w:type="auto"/>
          </w:tcPr>
          <w:p w14:paraId="70C41FA3" w14:textId="77777777" w:rsidR="00CB7C27" w:rsidRPr="003C0694" w:rsidRDefault="00CB7C27" w:rsidP="00C42F77">
            <w:pPr>
              <w:rPr>
                <w:rFonts w:asciiTheme="majorHAnsi" w:hAnsiTheme="majorHAnsi"/>
                <w:sz w:val="24"/>
                <w:szCs w:val="24"/>
              </w:rPr>
            </w:pPr>
          </w:p>
        </w:tc>
        <w:tc>
          <w:tcPr>
            <w:tcW w:w="0" w:type="auto"/>
          </w:tcPr>
          <w:p w14:paraId="2EFEA781" w14:textId="77777777" w:rsidR="00CB7C27" w:rsidRPr="003C0694" w:rsidRDefault="00CB7C27" w:rsidP="00C42F77">
            <w:pPr>
              <w:rPr>
                <w:rFonts w:asciiTheme="majorHAnsi" w:hAnsiTheme="majorHAnsi"/>
                <w:sz w:val="24"/>
                <w:szCs w:val="24"/>
              </w:rPr>
            </w:pPr>
          </w:p>
        </w:tc>
        <w:tc>
          <w:tcPr>
            <w:tcW w:w="0" w:type="auto"/>
          </w:tcPr>
          <w:p w14:paraId="7A6CB9EE" w14:textId="77777777" w:rsidR="00CB7C27" w:rsidRPr="003C0694" w:rsidRDefault="00CB7C27" w:rsidP="00C42F77">
            <w:pPr>
              <w:rPr>
                <w:rFonts w:asciiTheme="majorHAnsi" w:hAnsiTheme="majorHAnsi"/>
                <w:sz w:val="24"/>
                <w:szCs w:val="24"/>
              </w:rPr>
            </w:pPr>
          </w:p>
        </w:tc>
        <w:tc>
          <w:tcPr>
            <w:tcW w:w="0" w:type="auto"/>
          </w:tcPr>
          <w:p w14:paraId="3825D6E6" w14:textId="77777777" w:rsidR="00CB7C27" w:rsidRPr="003C0694" w:rsidRDefault="00CB7C27" w:rsidP="00C42F77">
            <w:pPr>
              <w:rPr>
                <w:rFonts w:asciiTheme="majorHAnsi" w:hAnsiTheme="majorHAnsi"/>
                <w:sz w:val="24"/>
                <w:szCs w:val="24"/>
              </w:rPr>
            </w:pPr>
          </w:p>
        </w:tc>
        <w:tc>
          <w:tcPr>
            <w:tcW w:w="0" w:type="auto"/>
          </w:tcPr>
          <w:p w14:paraId="1EB1FDB7" w14:textId="77777777" w:rsidR="00CB7C27" w:rsidRPr="003C0694" w:rsidRDefault="00CB7C27" w:rsidP="00C42F77">
            <w:pPr>
              <w:rPr>
                <w:rFonts w:asciiTheme="majorHAnsi" w:hAnsiTheme="majorHAnsi"/>
                <w:sz w:val="24"/>
                <w:szCs w:val="24"/>
              </w:rPr>
            </w:pPr>
          </w:p>
        </w:tc>
        <w:tc>
          <w:tcPr>
            <w:tcW w:w="0" w:type="auto"/>
          </w:tcPr>
          <w:p w14:paraId="2D5F05E3" w14:textId="77777777" w:rsidR="00CB7C27" w:rsidRPr="003C0694" w:rsidRDefault="00CB7C27" w:rsidP="00C42F77">
            <w:pPr>
              <w:rPr>
                <w:rFonts w:asciiTheme="majorHAnsi" w:hAnsiTheme="majorHAnsi"/>
                <w:sz w:val="24"/>
                <w:szCs w:val="24"/>
              </w:rPr>
            </w:pPr>
          </w:p>
        </w:tc>
        <w:tc>
          <w:tcPr>
            <w:tcW w:w="0" w:type="auto"/>
          </w:tcPr>
          <w:p w14:paraId="317195FB" w14:textId="77777777" w:rsidR="00CB7C27" w:rsidRPr="003C0694" w:rsidRDefault="00CB7C27" w:rsidP="00C42F77">
            <w:pPr>
              <w:rPr>
                <w:rFonts w:asciiTheme="majorHAnsi" w:hAnsiTheme="majorHAnsi"/>
                <w:sz w:val="24"/>
                <w:szCs w:val="24"/>
              </w:rPr>
            </w:pPr>
          </w:p>
        </w:tc>
        <w:tc>
          <w:tcPr>
            <w:tcW w:w="0" w:type="auto"/>
          </w:tcPr>
          <w:p w14:paraId="6D9380B8" w14:textId="77777777" w:rsidR="00CB7C27" w:rsidRPr="003C0694" w:rsidRDefault="00CB7C27" w:rsidP="00C42F77">
            <w:pPr>
              <w:rPr>
                <w:rFonts w:asciiTheme="majorHAnsi" w:hAnsiTheme="majorHAnsi"/>
                <w:sz w:val="24"/>
                <w:szCs w:val="24"/>
              </w:rPr>
            </w:pPr>
          </w:p>
        </w:tc>
        <w:tc>
          <w:tcPr>
            <w:tcW w:w="0" w:type="auto"/>
          </w:tcPr>
          <w:p w14:paraId="4EBDF812" w14:textId="77777777" w:rsidR="00CB7C27" w:rsidRPr="003C0694" w:rsidRDefault="00CB7C27" w:rsidP="00C42F77">
            <w:pPr>
              <w:rPr>
                <w:rFonts w:asciiTheme="majorHAnsi" w:hAnsiTheme="majorHAnsi"/>
                <w:sz w:val="24"/>
                <w:szCs w:val="24"/>
              </w:rPr>
            </w:pPr>
          </w:p>
        </w:tc>
        <w:tc>
          <w:tcPr>
            <w:tcW w:w="0" w:type="auto"/>
          </w:tcPr>
          <w:p w14:paraId="68E2B3A9" w14:textId="77777777" w:rsidR="00CB7C27" w:rsidRPr="003C0694" w:rsidRDefault="00CB7C27" w:rsidP="00C42F77">
            <w:pPr>
              <w:rPr>
                <w:rFonts w:asciiTheme="majorHAnsi" w:hAnsiTheme="majorHAnsi"/>
                <w:sz w:val="24"/>
                <w:szCs w:val="24"/>
              </w:rPr>
            </w:pPr>
          </w:p>
        </w:tc>
      </w:tr>
      <w:tr w:rsidR="00CB7C27" w:rsidRPr="003C0694" w14:paraId="514A6890" w14:textId="77777777" w:rsidTr="00C42F77">
        <w:tc>
          <w:tcPr>
            <w:tcW w:w="0" w:type="auto"/>
          </w:tcPr>
          <w:p w14:paraId="6C9E9BBA" w14:textId="77777777" w:rsidR="00CB7C27" w:rsidRPr="003C0694" w:rsidRDefault="00CB7C27" w:rsidP="00C42F77">
            <w:pPr>
              <w:rPr>
                <w:rFonts w:asciiTheme="majorHAnsi" w:hAnsiTheme="majorHAnsi"/>
                <w:sz w:val="24"/>
                <w:szCs w:val="24"/>
              </w:rPr>
            </w:pPr>
          </w:p>
        </w:tc>
        <w:tc>
          <w:tcPr>
            <w:tcW w:w="0" w:type="auto"/>
          </w:tcPr>
          <w:p w14:paraId="1BC922DD" w14:textId="77777777" w:rsidR="00CB7C27" w:rsidRPr="003C0694" w:rsidRDefault="00CB7C27" w:rsidP="00C42F77">
            <w:pPr>
              <w:rPr>
                <w:rFonts w:asciiTheme="majorHAnsi" w:hAnsiTheme="majorHAnsi"/>
                <w:sz w:val="24"/>
                <w:szCs w:val="24"/>
              </w:rPr>
            </w:pPr>
          </w:p>
        </w:tc>
        <w:tc>
          <w:tcPr>
            <w:tcW w:w="0" w:type="auto"/>
          </w:tcPr>
          <w:p w14:paraId="0E4B282B" w14:textId="77777777" w:rsidR="00CB7C27" w:rsidRPr="003C0694" w:rsidRDefault="00CB7C27" w:rsidP="00C42F77">
            <w:pPr>
              <w:rPr>
                <w:rFonts w:asciiTheme="majorHAnsi" w:hAnsiTheme="majorHAnsi"/>
                <w:sz w:val="24"/>
                <w:szCs w:val="24"/>
              </w:rPr>
            </w:pPr>
          </w:p>
        </w:tc>
        <w:tc>
          <w:tcPr>
            <w:tcW w:w="0" w:type="auto"/>
          </w:tcPr>
          <w:p w14:paraId="7450AFB7" w14:textId="77777777" w:rsidR="00CB7C27" w:rsidRPr="003C0694" w:rsidRDefault="00CB7C27" w:rsidP="00C42F77">
            <w:pPr>
              <w:rPr>
                <w:rFonts w:asciiTheme="majorHAnsi" w:hAnsiTheme="majorHAnsi"/>
                <w:sz w:val="24"/>
                <w:szCs w:val="24"/>
              </w:rPr>
            </w:pPr>
          </w:p>
        </w:tc>
        <w:tc>
          <w:tcPr>
            <w:tcW w:w="0" w:type="auto"/>
          </w:tcPr>
          <w:p w14:paraId="5672053A" w14:textId="77777777" w:rsidR="00CB7C27" w:rsidRPr="003C0694" w:rsidRDefault="00CB7C27" w:rsidP="00C42F77">
            <w:pPr>
              <w:rPr>
                <w:rFonts w:asciiTheme="majorHAnsi" w:hAnsiTheme="majorHAnsi"/>
                <w:sz w:val="24"/>
                <w:szCs w:val="24"/>
              </w:rPr>
            </w:pPr>
          </w:p>
        </w:tc>
        <w:tc>
          <w:tcPr>
            <w:tcW w:w="0" w:type="auto"/>
          </w:tcPr>
          <w:p w14:paraId="6F3F64C0" w14:textId="77777777" w:rsidR="00CB7C27" w:rsidRPr="003C0694" w:rsidRDefault="00CB7C27" w:rsidP="00C42F77">
            <w:pPr>
              <w:rPr>
                <w:rFonts w:asciiTheme="majorHAnsi" w:hAnsiTheme="majorHAnsi"/>
                <w:sz w:val="24"/>
                <w:szCs w:val="24"/>
              </w:rPr>
            </w:pPr>
          </w:p>
        </w:tc>
        <w:tc>
          <w:tcPr>
            <w:tcW w:w="0" w:type="auto"/>
          </w:tcPr>
          <w:p w14:paraId="6E08FC0E" w14:textId="77777777" w:rsidR="00CB7C27" w:rsidRPr="003C0694" w:rsidRDefault="00CB7C27" w:rsidP="00C42F77">
            <w:pPr>
              <w:rPr>
                <w:rFonts w:asciiTheme="majorHAnsi" w:hAnsiTheme="majorHAnsi"/>
                <w:sz w:val="24"/>
                <w:szCs w:val="24"/>
              </w:rPr>
            </w:pPr>
          </w:p>
        </w:tc>
        <w:tc>
          <w:tcPr>
            <w:tcW w:w="0" w:type="auto"/>
          </w:tcPr>
          <w:p w14:paraId="69BA8AE9" w14:textId="77777777" w:rsidR="00CB7C27" w:rsidRPr="003C0694" w:rsidRDefault="00CB7C27" w:rsidP="00C42F77">
            <w:pPr>
              <w:rPr>
                <w:rFonts w:asciiTheme="majorHAnsi" w:hAnsiTheme="majorHAnsi"/>
                <w:sz w:val="24"/>
                <w:szCs w:val="24"/>
              </w:rPr>
            </w:pPr>
          </w:p>
        </w:tc>
        <w:tc>
          <w:tcPr>
            <w:tcW w:w="0" w:type="auto"/>
          </w:tcPr>
          <w:p w14:paraId="34700727" w14:textId="77777777" w:rsidR="00CB7C27" w:rsidRPr="003C0694" w:rsidRDefault="00CB7C27" w:rsidP="00C42F77">
            <w:pPr>
              <w:rPr>
                <w:rFonts w:asciiTheme="majorHAnsi" w:hAnsiTheme="majorHAnsi"/>
                <w:sz w:val="24"/>
                <w:szCs w:val="24"/>
              </w:rPr>
            </w:pPr>
          </w:p>
        </w:tc>
        <w:tc>
          <w:tcPr>
            <w:tcW w:w="0" w:type="auto"/>
          </w:tcPr>
          <w:p w14:paraId="48CF3C55" w14:textId="77777777" w:rsidR="00CB7C27" w:rsidRPr="003C0694" w:rsidRDefault="00CB7C27" w:rsidP="00C42F77">
            <w:pPr>
              <w:rPr>
                <w:rFonts w:asciiTheme="majorHAnsi" w:hAnsiTheme="majorHAnsi"/>
                <w:sz w:val="24"/>
                <w:szCs w:val="24"/>
              </w:rPr>
            </w:pPr>
          </w:p>
        </w:tc>
      </w:tr>
      <w:tr w:rsidR="00CB7C27" w:rsidRPr="003C0694" w14:paraId="73F4E089" w14:textId="77777777" w:rsidTr="00C42F77">
        <w:tc>
          <w:tcPr>
            <w:tcW w:w="0" w:type="auto"/>
          </w:tcPr>
          <w:p w14:paraId="2E9A346E" w14:textId="77777777" w:rsidR="00CB7C27" w:rsidRPr="003C0694" w:rsidRDefault="00CB7C27" w:rsidP="00C42F77">
            <w:pPr>
              <w:rPr>
                <w:rFonts w:asciiTheme="majorHAnsi" w:hAnsiTheme="majorHAnsi"/>
                <w:sz w:val="24"/>
                <w:szCs w:val="24"/>
              </w:rPr>
            </w:pPr>
          </w:p>
        </w:tc>
        <w:tc>
          <w:tcPr>
            <w:tcW w:w="0" w:type="auto"/>
          </w:tcPr>
          <w:p w14:paraId="6CDA2AD0" w14:textId="77777777" w:rsidR="00CB7C27" w:rsidRPr="003C0694" w:rsidRDefault="00CB7C27" w:rsidP="00C42F77">
            <w:pPr>
              <w:rPr>
                <w:rFonts w:asciiTheme="majorHAnsi" w:hAnsiTheme="majorHAnsi"/>
                <w:sz w:val="24"/>
                <w:szCs w:val="24"/>
              </w:rPr>
            </w:pPr>
          </w:p>
        </w:tc>
        <w:tc>
          <w:tcPr>
            <w:tcW w:w="0" w:type="auto"/>
          </w:tcPr>
          <w:p w14:paraId="08A95903" w14:textId="77777777" w:rsidR="00CB7C27" w:rsidRPr="003C0694" w:rsidRDefault="00CB7C27" w:rsidP="00C42F77">
            <w:pPr>
              <w:rPr>
                <w:rFonts w:asciiTheme="majorHAnsi" w:hAnsiTheme="majorHAnsi"/>
                <w:sz w:val="24"/>
                <w:szCs w:val="24"/>
              </w:rPr>
            </w:pPr>
          </w:p>
        </w:tc>
        <w:tc>
          <w:tcPr>
            <w:tcW w:w="0" w:type="auto"/>
          </w:tcPr>
          <w:p w14:paraId="63C88DD9" w14:textId="77777777" w:rsidR="00CB7C27" w:rsidRPr="003C0694" w:rsidRDefault="00CB7C27" w:rsidP="00C42F77">
            <w:pPr>
              <w:rPr>
                <w:rFonts w:asciiTheme="majorHAnsi" w:hAnsiTheme="majorHAnsi"/>
                <w:sz w:val="24"/>
                <w:szCs w:val="24"/>
              </w:rPr>
            </w:pPr>
          </w:p>
        </w:tc>
        <w:tc>
          <w:tcPr>
            <w:tcW w:w="0" w:type="auto"/>
          </w:tcPr>
          <w:p w14:paraId="1FF69BCB" w14:textId="77777777" w:rsidR="00CB7C27" w:rsidRPr="003C0694" w:rsidRDefault="00CB7C27" w:rsidP="00C42F77">
            <w:pPr>
              <w:rPr>
                <w:rFonts w:asciiTheme="majorHAnsi" w:hAnsiTheme="majorHAnsi"/>
                <w:sz w:val="24"/>
                <w:szCs w:val="24"/>
              </w:rPr>
            </w:pPr>
          </w:p>
        </w:tc>
        <w:tc>
          <w:tcPr>
            <w:tcW w:w="0" w:type="auto"/>
          </w:tcPr>
          <w:p w14:paraId="52C38C0B" w14:textId="77777777" w:rsidR="00CB7C27" w:rsidRPr="003C0694" w:rsidRDefault="00CB7C27" w:rsidP="00C42F77">
            <w:pPr>
              <w:rPr>
                <w:rFonts w:asciiTheme="majorHAnsi" w:hAnsiTheme="majorHAnsi"/>
                <w:sz w:val="24"/>
                <w:szCs w:val="24"/>
              </w:rPr>
            </w:pPr>
          </w:p>
        </w:tc>
        <w:tc>
          <w:tcPr>
            <w:tcW w:w="0" w:type="auto"/>
          </w:tcPr>
          <w:p w14:paraId="32E05EE9" w14:textId="77777777" w:rsidR="00CB7C27" w:rsidRPr="003C0694" w:rsidRDefault="00CB7C27" w:rsidP="00C42F77">
            <w:pPr>
              <w:rPr>
                <w:rFonts w:asciiTheme="majorHAnsi" w:hAnsiTheme="majorHAnsi"/>
                <w:sz w:val="24"/>
                <w:szCs w:val="24"/>
              </w:rPr>
            </w:pPr>
          </w:p>
        </w:tc>
        <w:tc>
          <w:tcPr>
            <w:tcW w:w="0" w:type="auto"/>
          </w:tcPr>
          <w:p w14:paraId="64A5CD1C" w14:textId="77777777" w:rsidR="00CB7C27" w:rsidRPr="003C0694" w:rsidRDefault="00CB7C27" w:rsidP="00C42F77">
            <w:pPr>
              <w:rPr>
                <w:rFonts w:asciiTheme="majorHAnsi" w:hAnsiTheme="majorHAnsi"/>
                <w:sz w:val="24"/>
                <w:szCs w:val="24"/>
              </w:rPr>
            </w:pPr>
          </w:p>
        </w:tc>
        <w:tc>
          <w:tcPr>
            <w:tcW w:w="0" w:type="auto"/>
          </w:tcPr>
          <w:p w14:paraId="47BA9B6A" w14:textId="77777777" w:rsidR="00CB7C27" w:rsidRPr="003C0694" w:rsidRDefault="00CB7C27" w:rsidP="00C42F77">
            <w:pPr>
              <w:rPr>
                <w:rFonts w:asciiTheme="majorHAnsi" w:hAnsiTheme="majorHAnsi"/>
                <w:sz w:val="24"/>
                <w:szCs w:val="24"/>
              </w:rPr>
            </w:pPr>
          </w:p>
        </w:tc>
        <w:tc>
          <w:tcPr>
            <w:tcW w:w="0" w:type="auto"/>
          </w:tcPr>
          <w:p w14:paraId="5CE90F18" w14:textId="77777777" w:rsidR="00CB7C27" w:rsidRPr="003C0694" w:rsidRDefault="00CB7C27" w:rsidP="00C42F77">
            <w:pPr>
              <w:rPr>
                <w:rFonts w:asciiTheme="majorHAnsi" w:hAnsiTheme="majorHAnsi"/>
                <w:sz w:val="24"/>
                <w:szCs w:val="24"/>
              </w:rPr>
            </w:pPr>
          </w:p>
        </w:tc>
      </w:tr>
    </w:tbl>
    <w:p w14:paraId="1456D94A" w14:textId="77777777" w:rsidR="00B26A32" w:rsidRPr="003C0694" w:rsidRDefault="00B26A32" w:rsidP="00C42F77">
      <w:pPr>
        <w:spacing w:after="0" w:line="240" w:lineRule="auto"/>
        <w:rPr>
          <w:rFonts w:asciiTheme="majorHAnsi" w:hAnsiTheme="majorHAnsi"/>
          <w:sz w:val="24"/>
          <w:szCs w:val="24"/>
        </w:rPr>
      </w:pPr>
    </w:p>
    <w:sectPr w:rsidR="00B26A32" w:rsidRPr="003C0694" w:rsidSect="00B63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4154C"/>
    <w:multiLevelType w:val="hybridMultilevel"/>
    <w:tmpl w:val="40F202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471E72"/>
    <w:multiLevelType w:val="hybridMultilevel"/>
    <w:tmpl w:val="4D8EAD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8D1B1B"/>
    <w:multiLevelType w:val="hybridMultilevel"/>
    <w:tmpl w:val="39804E04"/>
    <w:lvl w:ilvl="0" w:tplc="4009000F">
      <w:start w:val="1"/>
      <w:numFmt w:val="decimal"/>
      <w:lvlText w:val="%1."/>
      <w:lvlJc w:val="left"/>
      <w:pPr>
        <w:ind w:left="720" w:hanging="360"/>
      </w:pPr>
    </w:lvl>
    <w:lvl w:ilvl="1" w:tplc="E66E8B10">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AD44EDA"/>
    <w:multiLevelType w:val="hybridMultilevel"/>
    <w:tmpl w:val="A520327A"/>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57603237">
    <w:abstractNumId w:val="2"/>
  </w:num>
  <w:num w:numId="2" w16cid:durableId="927540941">
    <w:abstractNumId w:val="0"/>
  </w:num>
  <w:num w:numId="3" w16cid:durableId="244340883">
    <w:abstractNumId w:val="3"/>
  </w:num>
  <w:num w:numId="4" w16cid:durableId="1699965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E6B38"/>
    <w:rsid w:val="001D2B96"/>
    <w:rsid w:val="00247DCC"/>
    <w:rsid w:val="00320D59"/>
    <w:rsid w:val="003C0694"/>
    <w:rsid w:val="004245F5"/>
    <w:rsid w:val="004C5731"/>
    <w:rsid w:val="004C6E93"/>
    <w:rsid w:val="00575B1E"/>
    <w:rsid w:val="005D2700"/>
    <w:rsid w:val="00656D02"/>
    <w:rsid w:val="006E63D6"/>
    <w:rsid w:val="006E6B38"/>
    <w:rsid w:val="006F2DEB"/>
    <w:rsid w:val="0072697A"/>
    <w:rsid w:val="00744EDD"/>
    <w:rsid w:val="00A326C7"/>
    <w:rsid w:val="00A41360"/>
    <w:rsid w:val="00B26A32"/>
    <w:rsid w:val="00B43AA1"/>
    <w:rsid w:val="00B63C74"/>
    <w:rsid w:val="00BB08D0"/>
    <w:rsid w:val="00C13BD9"/>
    <w:rsid w:val="00C42F77"/>
    <w:rsid w:val="00CB7C27"/>
    <w:rsid w:val="00CF6B8F"/>
    <w:rsid w:val="00D16C01"/>
    <w:rsid w:val="00D4394F"/>
    <w:rsid w:val="00ED7C2C"/>
    <w:rsid w:val="00F76D73"/>
    <w:rsid w:val="00FF7821"/>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4D9C"/>
  <w15:docId w15:val="{11813987-0E05-4BBF-8E0D-7457E164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C7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7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45F5"/>
    <w:rPr>
      <w:color w:val="0000FF" w:themeColor="hyperlink"/>
      <w:u w:val="single"/>
    </w:rPr>
  </w:style>
  <w:style w:type="paragraph" w:styleId="ListParagraph">
    <w:name w:val="List Paragraph"/>
    <w:basedOn w:val="Normal"/>
    <w:uiPriority w:val="34"/>
    <w:qFormat/>
    <w:rsid w:val="00C42F77"/>
    <w:pPr>
      <w:ind w:left="720"/>
      <w:contextualSpacing/>
    </w:pPr>
  </w:style>
  <w:style w:type="paragraph" w:styleId="BalloonText">
    <w:name w:val="Balloon Text"/>
    <w:basedOn w:val="Normal"/>
    <w:link w:val="BalloonTextChar"/>
    <w:uiPriority w:val="99"/>
    <w:semiHidden/>
    <w:unhideWhenUsed/>
    <w:rsid w:val="00656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D02"/>
    <w:rPr>
      <w:rFonts w:ascii="Segoe UI" w:hAnsi="Segoe UI" w:cs="Segoe UI"/>
      <w:sz w:val="18"/>
      <w:szCs w:val="18"/>
    </w:rPr>
  </w:style>
  <w:style w:type="character" w:styleId="UnresolvedMention">
    <w:name w:val="Unresolved Mention"/>
    <w:basedOn w:val="DefaultParagraphFont"/>
    <w:uiPriority w:val="99"/>
    <w:semiHidden/>
    <w:unhideWhenUsed/>
    <w:rsid w:val="00CF6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09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ndrimamercantiles.co.in" TargetMode="External"/><Relationship Id="rId3" Type="http://schemas.openxmlformats.org/officeDocument/2006/relationships/settings" Target="settings.xml"/><Relationship Id="rId7" Type="http://schemas.openxmlformats.org/officeDocument/2006/relationships/hyperlink" Target="https://thelelavoi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nrimamercantile@gmail.com" TargetMode="External"/><Relationship Id="rId11" Type="http://schemas.openxmlformats.org/officeDocument/2006/relationships/theme" Target="theme/theme1.xml"/><Relationship Id="rId5" Type="http://schemas.openxmlformats.org/officeDocument/2006/relationships/hyperlink" Target="mailto:info@thelelavoi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elelavo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com-2</dc:creator>
  <cp:keywords/>
  <dc:description/>
  <cp:lastModifiedBy>Gaurav Bachani</cp:lastModifiedBy>
  <cp:revision>19</cp:revision>
  <cp:lastPrinted>2022-02-08T06:13:00Z</cp:lastPrinted>
  <dcterms:created xsi:type="dcterms:W3CDTF">2017-08-21T13:03:00Z</dcterms:created>
  <dcterms:modified xsi:type="dcterms:W3CDTF">2024-10-02T12:13:00Z</dcterms:modified>
</cp:coreProperties>
</file>